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adv0r3x0qx0i" w:id="0"/>
      <w:bookmarkEnd w:id="0"/>
      <w:r w:rsidDel="00000000" w:rsidR="00000000" w:rsidRPr="00000000">
        <w:rPr>
          <w:rtl w:val="0"/>
        </w:rPr>
        <w:t xml:space="preserve">Івано-Франківська область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(не відповіла на запит про публічну інформацію)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b2cfgpyopd4q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70"/>
        <w:gridCol w:w="1470"/>
        <w:gridCol w:w="1650"/>
        <w:gridCol w:w="1485"/>
        <w:gridCol w:w="1965"/>
        <w:tblGridChange w:id="0">
          <w:tblGrid>
            <w:gridCol w:w="1245"/>
            <w:gridCol w:w="1470"/>
            <w:gridCol w:w="1470"/>
            <w:gridCol w:w="1650"/>
            <w:gridCol w:w="1485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 (дані 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41 101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1 170,1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1 607,2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2 945,3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635,5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