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contextualSpacing w:val="0"/>
        <w:rPr/>
      </w:pPr>
      <w:bookmarkStart w:colFirst="0" w:colLast="0" w:name="_adv0r3x0qx0i" w:id="0"/>
      <w:bookmarkEnd w:id="0"/>
      <w:r w:rsidDel="00000000" w:rsidR="00000000" w:rsidRPr="00000000">
        <w:rPr>
          <w:rtl w:val="0"/>
        </w:rPr>
        <w:t xml:space="preserve">Івано-Франківська область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  <w:t xml:space="preserve">(не відповіла на запит про публічну інформацію)</w:t>
      </w:r>
    </w:p>
    <w:p w:rsidR="00000000" w:rsidDel="00000000" w:rsidP="00000000" w:rsidRDefault="00000000" w:rsidRPr="00000000" w14:paraId="00000002">
      <w:pPr>
        <w:pStyle w:val="Heading3"/>
        <w:contextualSpacing w:val="0"/>
        <w:rPr/>
      </w:pPr>
      <w:bookmarkStart w:colFirst="0" w:colLast="0" w:name="_b2cfgpyopd4q" w:id="1"/>
      <w:bookmarkEnd w:id="1"/>
      <w:r w:rsidDel="00000000" w:rsidR="00000000" w:rsidRPr="00000000">
        <w:rPr>
          <w:rtl w:val="0"/>
        </w:rPr>
        <w:t xml:space="preserve">Витрати субвенції (тис. грн)</w:t>
      </w:r>
    </w:p>
    <w:tbl>
      <w:tblPr>
        <w:tblStyle w:val="Table1"/>
        <w:tblW w:w="928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45"/>
        <w:gridCol w:w="1470"/>
        <w:gridCol w:w="1470"/>
        <w:gridCol w:w="1650"/>
        <w:gridCol w:w="1485"/>
        <w:gridCol w:w="1965"/>
        <w:tblGridChange w:id="0">
          <w:tblGrid>
            <w:gridCol w:w="1245"/>
            <w:gridCol w:w="1470"/>
            <w:gridCol w:w="1470"/>
            <w:gridCol w:w="1650"/>
            <w:gridCol w:w="1485"/>
            <w:gridCol w:w="19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15.07 (дані 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загалом на 15.08 (дані 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дидактику (дані 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меблі (дані 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обладнання  (дані  МОН)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41 101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1 170,1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5 188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1 607,2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2 945,3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635,5</w:t>
            </w:r>
          </w:p>
        </w:tc>
      </w:tr>
    </w:tbl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