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947E" w14:textId="71124B9D" w:rsidR="00F857E1" w:rsidRPr="00F33AB9" w:rsidRDefault="0079455C" w:rsidP="00F33AB9">
      <w:pPr>
        <w:jc w:val="center"/>
        <w:rPr>
          <w:rFonts w:cstheme="minorHAnsi"/>
          <w:b/>
          <w:bCs/>
          <w:sz w:val="28"/>
          <w:szCs w:val="28"/>
          <w:lang w:val="uk-UA"/>
        </w:rPr>
      </w:pPr>
      <w:r w:rsidRPr="00F33AB9">
        <w:rPr>
          <w:rFonts w:cstheme="minorHAnsi"/>
          <w:b/>
          <w:bCs/>
          <w:sz w:val="28"/>
          <w:szCs w:val="28"/>
          <w:lang w:val="uk-UA"/>
        </w:rPr>
        <w:t>Оцінювання читання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9220"/>
      </w:tblGrid>
      <w:tr w:rsidR="0079455C" w:rsidRPr="00F33AB9" w14:paraId="7BB10608" w14:textId="77777777" w:rsidTr="0029091B">
        <w:tc>
          <w:tcPr>
            <w:tcW w:w="1555" w:type="dxa"/>
            <w:vAlign w:val="center"/>
          </w:tcPr>
          <w:p w14:paraId="65909C0A" w14:textId="01C69BEA" w:rsidR="0079455C" w:rsidRPr="00F33AB9" w:rsidRDefault="0079455C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Довільний </w:t>
            </w:r>
            <w:r w:rsidR="004522AA" w:rsidRPr="00F33AB9">
              <w:rPr>
                <w:rFonts w:cstheme="minorHAnsi"/>
                <w:sz w:val="24"/>
                <w:szCs w:val="24"/>
                <w:lang w:val="uk-UA"/>
              </w:rPr>
              <w:t>коментар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(а</w:t>
            </w:r>
            <w:proofErr w:type="spellStart"/>
            <w:r w:rsidRPr="00F33AB9">
              <w:rPr>
                <w:rFonts w:cstheme="minorHAnsi"/>
                <w:sz w:val="24"/>
                <w:szCs w:val="24"/>
              </w:rPr>
              <w:t>некдотичні</w:t>
            </w:r>
            <w:proofErr w:type="spellEnd"/>
            <w:r w:rsidRPr="00F33A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3AB9">
              <w:rPr>
                <w:rFonts w:cstheme="minorHAnsi"/>
                <w:sz w:val="24"/>
                <w:szCs w:val="24"/>
              </w:rPr>
              <w:t>нотатки</w:t>
            </w:r>
            <w:proofErr w:type="spellEnd"/>
            <w:r w:rsidRPr="00F33AB9">
              <w:rPr>
                <w:rFonts w:cs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9235" w:type="dxa"/>
            <w:vAlign w:val="center"/>
          </w:tcPr>
          <w:p w14:paraId="33910F67" w14:textId="06D6E7F6" w:rsidR="0079455C" w:rsidRPr="00F33AB9" w:rsidRDefault="00C626B3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Учителі пишуть к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 xml:space="preserve">ороткі коментарі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щодо поведінки учня</w:t>
            </w:r>
            <w:r w:rsidR="00F33AB9">
              <w:rPr>
                <w:rFonts w:cstheme="minorHAnsi"/>
                <w:sz w:val="24"/>
                <w:szCs w:val="24"/>
                <w:lang w:val="uk-UA"/>
              </w:rPr>
              <w:t xml:space="preserve"> / учениці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як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 xml:space="preserve">у вони 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 xml:space="preserve"> спостерігал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и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 xml:space="preserve"> під час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>читання. Коментарі описують поведінку, процеси та ставлення. Кожен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>запис повинен містити ім'я у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>чня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 xml:space="preserve">, дату, зміст спостережень 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і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 xml:space="preserve">достатньо інформації, щоб згадати, що сталося. Використовуйте ці записи, щоб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відстежити прогрес учня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 xml:space="preserve"> / учениці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>. Для цього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 xml:space="preserve"> визнач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>т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е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>, чи проводитимете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 xml:space="preserve"> індивідуальні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 xml:space="preserve"> розмови з учн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ем / ученицею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 xml:space="preserve">у 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>невелик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>их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 xml:space="preserve"> груп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 xml:space="preserve">ах або </w:t>
            </w:r>
            <w:proofErr w:type="spellStart"/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>мініуроки</w:t>
            </w:r>
            <w:proofErr w:type="spellEnd"/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 xml:space="preserve"> для 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в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сього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 xml:space="preserve"> клас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>у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14:paraId="5A1E3DEC" w14:textId="6A0B6E6B" w:rsidR="00051777" w:rsidRPr="00F33AB9" w:rsidRDefault="0079455C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i/>
                <w:iCs/>
                <w:sz w:val="24"/>
                <w:szCs w:val="24"/>
                <w:lang w:val="uk-UA"/>
              </w:rPr>
              <w:t>Стратегія</w:t>
            </w:r>
            <w:r w:rsidR="00051777" w:rsidRPr="00F33AB9">
              <w:rPr>
                <w:rFonts w:cstheme="minorHAnsi"/>
                <w:i/>
                <w:iCs/>
                <w:sz w:val="24"/>
                <w:szCs w:val="24"/>
                <w:lang w:val="uk-UA"/>
              </w:rPr>
              <w:t xml:space="preserve"> 1</w:t>
            </w:r>
            <w:r w:rsidRPr="00F33AB9">
              <w:rPr>
                <w:rFonts w:cstheme="minorHAnsi"/>
                <w:i/>
                <w:iCs/>
                <w:sz w:val="24"/>
                <w:szCs w:val="24"/>
                <w:lang w:val="uk-UA"/>
              </w:rPr>
              <w:t>: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 xml:space="preserve">Пишіть на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7200B3" w:rsidRPr="00F33AB9">
              <w:rPr>
                <w:rFonts w:cstheme="minorHAnsi"/>
                <w:sz w:val="24"/>
                <w:szCs w:val="24"/>
                <w:lang w:val="uk-UA"/>
              </w:rPr>
              <w:t>наклейках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, а потім </w:t>
            </w:r>
            <w:r w:rsidR="00051777" w:rsidRPr="00F33AB9">
              <w:rPr>
                <w:rFonts w:cstheme="minorHAnsi"/>
                <w:sz w:val="24"/>
                <w:szCs w:val="24"/>
                <w:lang w:val="uk-UA"/>
              </w:rPr>
              <w:t>при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клейте їх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на чисті аркуші паперу в індивідуальних з</w:t>
            </w:r>
            <w:r w:rsidR="00051777" w:rsidRPr="00F33AB9">
              <w:rPr>
                <w:rFonts w:cstheme="minorHAnsi"/>
                <w:sz w:val="24"/>
                <w:szCs w:val="24"/>
                <w:lang w:val="uk-UA"/>
              </w:rPr>
              <w:t>ошитах про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учнів.</w:t>
            </w:r>
            <w:r w:rsidR="00051777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Ці зошити можуть містити інформацію про </w:t>
            </w:r>
            <w:r w:rsidR="00051777" w:rsidRPr="00F33AB9">
              <w:rPr>
                <w:rFonts w:cstheme="minorHAnsi"/>
                <w:sz w:val="24"/>
                <w:szCs w:val="24"/>
                <w:lang w:val="uk-UA"/>
              </w:rPr>
              <w:t>учня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/ ученицю –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оцінки, інтерес</w:t>
            </w:r>
            <w:r w:rsidR="00C626B3" w:rsidRPr="00F33AB9">
              <w:rPr>
                <w:rFonts w:cstheme="minorHAnsi"/>
                <w:sz w:val="24"/>
                <w:szCs w:val="24"/>
                <w:lang w:val="uk-UA"/>
              </w:rPr>
              <w:t>и та запити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, особиста інформація тощо. </w:t>
            </w:r>
          </w:p>
          <w:p w14:paraId="77BF29BC" w14:textId="5397EFCA" w:rsidR="0079455C" w:rsidRPr="00F33AB9" w:rsidRDefault="00051777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i/>
                <w:iCs/>
                <w:sz w:val="24"/>
                <w:szCs w:val="24"/>
                <w:lang w:val="uk-UA"/>
              </w:rPr>
              <w:t>С</w:t>
            </w:r>
            <w:r w:rsidR="0079455C" w:rsidRPr="00F33AB9">
              <w:rPr>
                <w:rFonts w:cstheme="minorHAnsi"/>
                <w:i/>
                <w:iCs/>
                <w:sz w:val="24"/>
                <w:szCs w:val="24"/>
                <w:lang w:val="uk-UA"/>
              </w:rPr>
              <w:t>тратегія</w:t>
            </w:r>
            <w:r w:rsidRPr="00F33AB9">
              <w:rPr>
                <w:rFonts w:cstheme="minorHAnsi"/>
                <w:i/>
                <w:iCs/>
                <w:sz w:val="24"/>
                <w:szCs w:val="24"/>
                <w:lang w:val="uk-UA"/>
              </w:rPr>
              <w:t xml:space="preserve"> 2</w:t>
            </w:r>
            <w:r w:rsidR="0079455C" w:rsidRPr="00F33AB9">
              <w:rPr>
                <w:rFonts w:cstheme="minorHAnsi"/>
                <w:i/>
                <w:iCs/>
                <w:sz w:val="24"/>
                <w:szCs w:val="24"/>
                <w:lang w:val="uk-UA"/>
              </w:rPr>
              <w:t>: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C626B3" w:rsidRPr="00F33AB9">
              <w:rPr>
                <w:rFonts w:cstheme="minorHAnsi"/>
                <w:sz w:val="24"/>
                <w:szCs w:val="24"/>
                <w:lang w:val="uk-UA"/>
              </w:rPr>
              <w:t>І</w:t>
            </w:r>
            <w:r w:rsidR="0079455C" w:rsidRPr="00F33AB9">
              <w:rPr>
                <w:rFonts w:cstheme="minorHAnsi"/>
                <w:sz w:val="24"/>
                <w:szCs w:val="24"/>
                <w:lang w:val="uk-UA"/>
              </w:rPr>
              <w:t>ндексні картки на дошці.</w:t>
            </w:r>
          </w:p>
        </w:tc>
      </w:tr>
      <w:tr w:rsidR="0079455C" w:rsidRPr="00F33AB9" w14:paraId="66C257BA" w14:textId="77777777" w:rsidTr="0029091B">
        <w:tc>
          <w:tcPr>
            <w:tcW w:w="1555" w:type="dxa"/>
            <w:vAlign w:val="center"/>
          </w:tcPr>
          <w:p w14:paraId="5141611C" w14:textId="123DF8B0" w:rsidR="0079455C" w:rsidRPr="00F33AB9" w:rsidRDefault="00051777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Поточні записи</w:t>
            </w:r>
          </w:p>
        </w:tc>
        <w:tc>
          <w:tcPr>
            <w:tcW w:w="9235" w:type="dxa"/>
            <w:vAlign w:val="center"/>
          </w:tcPr>
          <w:p w14:paraId="32362AF2" w14:textId="16418F40" w:rsidR="00051777" w:rsidRPr="00F33AB9" w:rsidRDefault="00C626B3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Оцінювання</w:t>
            </w:r>
            <w:r w:rsidR="00051777" w:rsidRPr="00F33AB9">
              <w:rPr>
                <w:rFonts w:cstheme="minorHAnsi"/>
                <w:sz w:val="24"/>
                <w:szCs w:val="24"/>
                <w:lang w:val="uk-UA"/>
              </w:rPr>
              <w:t xml:space="preserve"> усного читання, коли записують та аналізу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ю</w:t>
            </w:r>
            <w:r w:rsidR="00051777" w:rsidRPr="00F33AB9">
              <w:rPr>
                <w:rFonts w:cstheme="minorHAnsi"/>
                <w:sz w:val="24"/>
                <w:szCs w:val="24"/>
                <w:lang w:val="uk-UA"/>
              </w:rPr>
              <w:t>ть</w:t>
            </w:r>
            <w:r w:rsidR="00544CDA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051777" w:rsidRPr="00F33AB9">
              <w:rPr>
                <w:rFonts w:cstheme="minorHAnsi"/>
                <w:sz w:val="24"/>
                <w:szCs w:val="24"/>
                <w:lang w:val="uk-UA"/>
              </w:rPr>
              <w:t xml:space="preserve">помилки або відхилення від тексту, які учень 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 xml:space="preserve">/ учениця </w:t>
            </w:r>
            <w:r w:rsidR="00051777" w:rsidRPr="00F33AB9">
              <w:rPr>
                <w:rFonts w:cstheme="minorHAnsi"/>
                <w:sz w:val="24"/>
                <w:szCs w:val="24"/>
                <w:lang w:val="uk-UA"/>
              </w:rPr>
              <w:t>демонструє під час читання вголос.</w:t>
            </w:r>
          </w:p>
          <w:p w14:paraId="52A2EC03" w14:textId="19ADF725" w:rsidR="00991180" w:rsidRPr="00F33AB9" w:rsidRDefault="00C626B3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Тема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 xml:space="preserve">: </w:t>
            </w:r>
            <w:r w:rsidR="00051777" w:rsidRPr="00F33AB9">
              <w:rPr>
                <w:rFonts w:cstheme="minorHAnsi"/>
                <w:sz w:val="24"/>
                <w:szCs w:val="24"/>
                <w:lang w:val="uk-UA"/>
              </w:rPr>
              <w:t>зрозуміти процеси та мислення читачів, розпізнати закономірності поведінки і, як результат, планування диференційованого навчання. Є різні системи позначень помилок. Особливий акцент приділя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ють</w:t>
            </w:r>
            <w:r w:rsidR="00544CDA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051777" w:rsidRPr="00F33AB9">
              <w:rPr>
                <w:rFonts w:cstheme="minorHAnsi"/>
                <w:sz w:val="24"/>
                <w:szCs w:val="24"/>
                <w:lang w:val="uk-UA"/>
              </w:rPr>
              <w:t>різн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>овиду помилок</w:t>
            </w:r>
            <w:r w:rsidR="00051777" w:rsidRPr="00F33AB9">
              <w:rPr>
                <w:rFonts w:cstheme="minorHAnsi"/>
                <w:sz w:val="24"/>
                <w:szCs w:val="24"/>
                <w:lang w:val="uk-UA"/>
              </w:rPr>
              <w:t>: графічна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, орфоепічна</w:t>
            </w:r>
            <w:r w:rsidR="00051777" w:rsidRPr="00F33AB9">
              <w:rPr>
                <w:rFonts w:cstheme="minorHAnsi"/>
                <w:sz w:val="24"/>
                <w:szCs w:val="24"/>
                <w:lang w:val="uk-UA"/>
              </w:rPr>
              <w:t xml:space="preserve">, семантична та синтаксична. </w:t>
            </w:r>
          </w:p>
          <w:p w14:paraId="543740EB" w14:textId="295C5EBC" w:rsidR="0079455C" w:rsidRPr="00F33AB9" w:rsidRDefault="00051777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Зразок</w:t>
            </w:r>
            <w:r w:rsidR="00991180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991180"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>До</w:t>
            </w:r>
            <w:r w:rsidR="00E2389D"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>да</w:t>
            </w:r>
            <w:r w:rsidR="00991180"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>ток 1</w:t>
            </w:r>
            <w:r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>.</w:t>
            </w:r>
          </w:p>
        </w:tc>
      </w:tr>
      <w:tr w:rsidR="0079455C" w:rsidRPr="00F33AB9" w14:paraId="3DDC434C" w14:textId="77777777" w:rsidTr="0029091B">
        <w:tc>
          <w:tcPr>
            <w:tcW w:w="1555" w:type="dxa"/>
            <w:vAlign w:val="center"/>
          </w:tcPr>
          <w:p w14:paraId="48AC6B0A" w14:textId="32AAA6EF" w:rsidR="0079455C" w:rsidRPr="00F33AB9" w:rsidRDefault="00026749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Переказ</w:t>
            </w:r>
          </w:p>
        </w:tc>
        <w:tc>
          <w:tcPr>
            <w:tcW w:w="9235" w:type="dxa"/>
            <w:vAlign w:val="center"/>
          </w:tcPr>
          <w:p w14:paraId="19932AC3" w14:textId="6D87AFF4" w:rsidR="0079455C" w:rsidRPr="00F33AB9" w:rsidRDefault="00C626B3" w:rsidP="00544CDA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П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>ерека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зування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 прочитан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ого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допоможе учителеві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/-</w:t>
            </w:r>
            <w:proofErr w:type="spellStart"/>
            <w:r w:rsidR="00306000">
              <w:rPr>
                <w:rFonts w:cstheme="minorHAnsi"/>
                <w:sz w:val="24"/>
                <w:szCs w:val="24"/>
                <w:lang w:val="uk-UA"/>
              </w:rPr>
              <w:t>льці</w:t>
            </w:r>
            <w:proofErr w:type="spellEnd"/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 дізнатис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я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 багато нового про те, як учні будують розповідь 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–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 їх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ні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 здібності, стратегії та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можливості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>. Це можна робити у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с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но або 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в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 письмовій формі після того, як ви прочитали 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 xml:space="preserve">текст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учням 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або 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коли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 вони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про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читали 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 xml:space="preserve">його 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самі. Учні повинні переказати те,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про що йдеться в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 оповідання, якнайближче до</w:t>
            </w:r>
            <w:r w:rsidR="00544CDA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>оригінал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у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>, наскільки це можливо. Ті, хто посила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ю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>ться на точні деталі та використовують мову оповідання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,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 загалом зрозуміли 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текст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 xml:space="preserve"> краще від тих, хто переказує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в загальних рисах</w:t>
            </w:r>
            <w:r w:rsidR="00026749" w:rsidRPr="00F33AB9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</w:tr>
      <w:tr w:rsidR="0079455C" w:rsidRPr="00F33AB9" w14:paraId="23E423F5" w14:textId="77777777" w:rsidTr="0029091B">
        <w:tc>
          <w:tcPr>
            <w:tcW w:w="1555" w:type="dxa"/>
            <w:vAlign w:val="center"/>
          </w:tcPr>
          <w:p w14:paraId="460E86E3" w14:textId="1405F97A" w:rsidR="0079455C" w:rsidRPr="00F33AB9" w:rsidRDefault="00050E97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Рубрики</w:t>
            </w:r>
          </w:p>
        </w:tc>
        <w:tc>
          <w:tcPr>
            <w:tcW w:w="9235" w:type="dxa"/>
            <w:vAlign w:val="center"/>
          </w:tcPr>
          <w:p w14:paraId="16FB2758" w14:textId="125A706D" w:rsidR="00050E97" w:rsidRPr="00F33AB9" w:rsidRDefault="00050E97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Це форма списку основних навичок 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і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стратегій </w:t>
            </w:r>
            <w:r w:rsidR="00C626B3" w:rsidRPr="00F33AB9">
              <w:rPr>
                <w:rFonts w:cstheme="minorHAnsi"/>
                <w:sz w:val="24"/>
                <w:szCs w:val="24"/>
                <w:lang w:val="uk-UA"/>
              </w:rPr>
              <w:t>певного очікуваного результату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14:paraId="365988DC" w14:textId="28258DAB" w:rsidR="0029091B" w:rsidRPr="00F33AB9" w:rsidRDefault="00050E97" w:rsidP="0029091B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Почніть з мозкового штурму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 xml:space="preserve"> щодо того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, як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ий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вигляд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 xml:space="preserve"> повинна м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а</w:t>
            </w:r>
            <w:r w:rsidR="00306000">
              <w:rPr>
                <w:rFonts w:cstheme="minorHAnsi"/>
                <w:sz w:val="24"/>
                <w:szCs w:val="24"/>
                <w:lang w:val="uk-UA"/>
              </w:rPr>
              <w:t>ти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ідеальна майстерня з читання. Мова та критерії оцінювання (числа, слова) повинні бути чіткими, послідовними та зручними для користувачів, залишаючи якомога менше місця для інтерпретації. Співпрац</w:t>
            </w:r>
            <w:r w:rsidR="00C626B3" w:rsidRPr="00F33AB9">
              <w:rPr>
                <w:rFonts w:cstheme="minorHAnsi"/>
                <w:sz w:val="24"/>
                <w:szCs w:val="24"/>
                <w:lang w:val="uk-UA"/>
              </w:rPr>
              <w:t>я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для створення рубрик </w:t>
            </w:r>
            <w:r w:rsidR="00C626B3" w:rsidRPr="00F33AB9">
              <w:rPr>
                <w:rFonts w:cstheme="minorHAnsi"/>
                <w:sz w:val="24"/>
                <w:szCs w:val="24"/>
                <w:lang w:val="uk-UA"/>
              </w:rPr>
              <w:t xml:space="preserve">оцінювання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навичок, стратегій т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і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поведінки</w:t>
            </w:r>
            <w:r w:rsidR="00C626B3" w:rsidRPr="00F33AB9">
              <w:rPr>
                <w:rFonts w:cstheme="minorHAnsi"/>
                <w:sz w:val="24"/>
                <w:szCs w:val="24"/>
                <w:lang w:val="uk-UA"/>
              </w:rPr>
              <w:t xml:space="preserve"> під час читання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часто є цінною роботою. Працюючи з рубриками,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 xml:space="preserve">учні завжди повинні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наперед знати, що від н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их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очікують і що будуть оцінювати.</w:t>
            </w:r>
          </w:p>
        </w:tc>
      </w:tr>
      <w:tr w:rsidR="0079455C" w:rsidRPr="00F33AB9" w14:paraId="56BC8968" w14:textId="77777777" w:rsidTr="0029091B">
        <w:tc>
          <w:tcPr>
            <w:tcW w:w="1555" w:type="dxa"/>
            <w:vAlign w:val="center"/>
          </w:tcPr>
          <w:p w14:paraId="02444526" w14:textId="609A79E5" w:rsidR="0079455C" w:rsidRPr="00F33AB9" w:rsidRDefault="00226F33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Контрольний с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 xml:space="preserve">писок </w:t>
            </w:r>
          </w:p>
        </w:tc>
        <w:tc>
          <w:tcPr>
            <w:tcW w:w="9235" w:type="dxa"/>
            <w:vAlign w:val="center"/>
          </w:tcPr>
          <w:p w14:paraId="487AD474" w14:textId="74E10AC0" w:rsidR="00050E97" w:rsidRPr="00F33AB9" w:rsidRDefault="00C626B3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Ця техніка 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>спро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щує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 xml:space="preserve"> спостереження за записом, оскільки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її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 xml:space="preserve"> метою є нагадува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ння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 xml:space="preserve"> учителеві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/-</w:t>
            </w:r>
            <w:proofErr w:type="spellStart"/>
            <w:r w:rsidR="0029091B">
              <w:rPr>
                <w:rFonts w:cstheme="minorHAnsi"/>
                <w:sz w:val="24"/>
                <w:szCs w:val="24"/>
                <w:lang w:val="uk-UA"/>
              </w:rPr>
              <w:t>льці</w:t>
            </w:r>
            <w:proofErr w:type="spellEnd"/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>, які типи поведінки, процеси та розуміння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>ми шукаємо</w:t>
            </w:r>
            <w:r w:rsidR="00544CDA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>під час наших спостережень / конференцій. Прикладом цього типу контрольного списку є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050E97"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>файл</w:t>
            </w:r>
            <w:r w:rsidR="00CD1197"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 xml:space="preserve"> з Додатком 2</w:t>
            </w:r>
            <w:r w:rsidR="00050E97"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CD1197"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 xml:space="preserve">з </w:t>
            </w:r>
            <w:r w:rsidR="00050E97"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>форм</w:t>
            </w:r>
            <w:r w:rsidR="00CD1197"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>ою</w:t>
            </w:r>
            <w:r w:rsidR="00050E97"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 xml:space="preserve"> читацької конференції</w:t>
            </w:r>
            <w:r w:rsidR="00CD1197"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>.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 xml:space="preserve"> Створення </w:t>
            </w:r>
            <w:r w:rsidR="00226F33" w:rsidRPr="00F33AB9">
              <w:rPr>
                <w:rFonts w:cstheme="minorHAnsi"/>
                <w:sz w:val="24"/>
                <w:szCs w:val="24"/>
                <w:lang w:val="uk-UA"/>
              </w:rPr>
              <w:t xml:space="preserve">контрольного 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 xml:space="preserve">списку </w:t>
            </w:r>
            <w:r w:rsidR="008D79D1" w:rsidRPr="00F33AB9">
              <w:rPr>
                <w:rFonts w:cstheme="minorHAnsi"/>
                <w:sz w:val="24"/>
                <w:szCs w:val="24"/>
                <w:lang w:val="uk-UA"/>
              </w:rPr>
              <w:t xml:space="preserve">є особливо важливим протягом 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>спостереж</w:t>
            </w:r>
            <w:r w:rsidR="008D79D1" w:rsidRPr="00F33AB9">
              <w:rPr>
                <w:rFonts w:cstheme="minorHAnsi"/>
                <w:sz w:val="24"/>
                <w:szCs w:val="24"/>
                <w:lang w:val="uk-UA"/>
              </w:rPr>
              <w:t>ення з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 xml:space="preserve">а </w:t>
            </w:r>
            <w:r w:rsidR="008D79D1" w:rsidRPr="00F33AB9">
              <w:rPr>
                <w:rFonts w:cstheme="minorHAnsi"/>
                <w:sz w:val="24"/>
                <w:szCs w:val="24"/>
                <w:lang w:val="uk-UA"/>
              </w:rPr>
              <w:t xml:space="preserve">учнями 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 xml:space="preserve">під час </w:t>
            </w:r>
            <w:r w:rsidR="008D79D1" w:rsidRPr="00F33AB9">
              <w:rPr>
                <w:rFonts w:cstheme="minorHAnsi"/>
                <w:sz w:val="24"/>
                <w:szCs w:val="24"/>
                <w:lang w:val="uk-UA"/>
              </w:rPr>
              <w:t xml:space="preserve">їхнього самостійного 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>читання</w:t>
            </w:r>
            <w:r w:rsidR="008D79D1" w:rsidRPr="00F33AB9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14:paraId="101D7FCD" w14:textId="00FD7F93" w:rsidR="0079455C" w:rsidRPr="00F33AB9" w:rsidRDefault="008D79D1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Стратегія: маленькі групки по 4-6 учнів </w:t>
            </w:r>
            <w:r w:rsidR="00011398" w:rsidRPr="00F33AB9">
              <w:rPr>
                <w:rFonts w:cstheme="minorHAnsi"/>
                <w:sz w:val="24"/>
                <w:szCs w:val="24"/>
                <w:lang w:val="uk-UA"/>
              </w:rPr>
              <w:t>на кшталт мініконференцій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.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br/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Учитель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/-ка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226F33" w:rsidRPr="00F33AB9">
              <w:rPr>
                <w:rFonts w:cstheme="minorHAnsi"/>
                <w:sz w:val="24"/>
                <w:szCs w:val="24"/>
                <w:lang w:val="uk-UA"/>
              </w:rPr>
              <w:t>робить п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ри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мі</w:t>
            </w:r>
            <w:r w:rsidR="00226F33" w:rsidRPr="00F33AB9">
              <w:rPr>
                <w:rFonts w:cstheme="minorHAnsi"/>
                <w:sz w:val="24"/>
                <w:szCs w:val="24"/>
                <w:lang w:val="uk-UA"/>
              </w:rPr>
              <w:t>тки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в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226F33" w:rsidRPr="00F33AB9">
              <w:rPr>
                <w:rFonts w:cstheme="minorHAnsi"/>
                <w:sz w:val="24"/>
                <w:szCs w:val="24"/>
                <w:lang w:val="uk-UA"/>
              </w:rPr>
              <w:t xml:space="preserve">контрольному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списку. Такий список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розробляють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для ко</w:t>
            </w:r>
            <w:r w:rsidR="00011398" w:rsidRPr="00F33AB9">
              <w:rPr>
                <w:rFonts w:cstheme="minorHAnsi"/>
                <w:sz w:val="24"/>
                <w:szCs w:val="24"/>
                <w:lang w:val="uk-UA"/>
              </w:rPr>
              <w:t>ж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ного учня</w:t>
            </w:r>
            <w:r w:rsidR="00226F33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 xml:space="preserve">/ учениці; </w:t>
            </w:r>
            <w:r w:rsidR="00226F33" w:rsidRPr="00F33AB9">
              <w:rPr>
                <w:rFonts w:cstheme="minorHAnsi"/>
                <w:sz w:val="24"/>
                <w:szCs w:val="24"/>
                <w:lang w:val="uk-UA"/>
              </w:rPr>
              <w:t>його м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о</w:t>
            </w:r>
            <w:r w:rsidR="00011398" w:rsidRPr="00F33AB9">
              <w:rPr>
                <w:rFonts w:cstheme="minorHAnsi"/>
                <w:sz w:val="24"/>
                <w:szCs w:val="24"/>
                <w:lang w:val="uk-UA"/>
              </w:rPr>
              <w:t>ж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на складати разом з учнями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 xml:space="preserve">. </w:t>
            </w:r>
            <w:r w:rsidR="00011398" w:rsidRPr="00F33AB9">
              <w:rPr>
                <w:rFonts w:cstheme="minorHAnsi"/>
                <w:sz w:val="24"/>
                <w:szCs w:val="24"/>
                <w:lang w:val="uk-UA"/>
              </w:rPr>
              <w:t xml:space="preserve">Ці списки 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>є цінною діяльністю і, по суті, змін</w:t>
            </w:r>
            <w:r w:rsidR="00011398" w:rsidRPr="00F33AB9">
              <w:rPr>
                <w:rFonts w:cstheme="minorHAnsi"/>
                <w:sz w:val="24"/>
                <w:szCs w:val="24"/>
                <w:lang w:val="uk-UA"/>
              </w:rPr>
              <w:t>ять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 xml:space="preserve"> ваш</w:t>
            </w:r>
            <w:r w:rsidR="00011398" w:rsidRPr="00F33AB9">
              <w:rPr>
                <w:rFonts w:cstheme="minorHAnsi"/>
                <w:sz w:val="24"/>
                <w:szCs w:val="24"/>
                <w:lang w:val="uk-UA"/>
              </w:rPr>
              <w:t xml:space="preserve"> стиль викладання</w:t>
            </w:r>
            <w:r w:rsidR="00050E97" w:rsidRPr="00F33AB9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</w:tr>
      <w:tr w:rsidR="0079455C" w:rsidRPr="00F33AB9" w14:paraId="5834ABC6" w14:textId="77777777" w:rsidTr="0029091B">
        <w:tc>
          <w:tcPr>
            <w:tcW w:w="1555" w:type="dxa"/>
            <w:vAlign w:val="center"/>
          </w:tcPr>
          <w:p w14:paraId="19F03286" w14:textId="0CE27261" w:rsidR="0079455C" w:rsidRPr="00F33AB9" w:rsidRDefault="00011398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lastRenderedPageBreak/>
              <w:t>Портфоліо</w:t>
            </w:r>
          </w:p>
        </w:tc>
        <w:tc>
          <w:tcPr>
            <w:tcW w:w="9235" w:type="dxa"/>
            <w:vAlign w:val="center"/>
          </w:tcPr>
          <w:p w14:paraId="010DCBCB" w14:textId="02B104EA" w:rsidR="00011398" w:rsidRPr="00F33AB9" w:rsidRDefault="00011398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Збірник робіт, виконаних під час читання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–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можливо, роздуми та</w:t>
            </w:r>
          </w:p>
          <w:p w14:paraId="3003AF2F" w14:textId="684837BE" w:rsidR="00011398" w:rsidRPr="00F33AB9" w:rsidRDefault="00011398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відповіді на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запи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тання, книжкові проекти,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думки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про навчання під час конференцій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і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самостійна робота та/або вправи на постановку цілей.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У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чителі можуть використовувати мініконференції як спосіб відбору роботи для портфоліо. Їх можна додавати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C626B3" w:rsidRPr="00F33AB9">
              <w:rPr>
                <w:rFonts w:cstheme="minorHAnsi"/>
                <w:sz w:val="24"/>
                <w:szCs w:val="24"/>
                <w:lang w:val="uk-UA"/>
              </w:rPr>
              <w:t>аналізувати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багато разів</w:t>
            </w:r>
          </w:p>
          <w:p w14:paraId="2ECF0D0E" w14:textId="1A378088" w:rsidR="0079455C" w:rsidRPr="00F33AB9" w:rsidRDefault="00011398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протягом року, особливо під час зустрічі з батьками, як спосіб оцінки та роздумів щодо поступ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у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учня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 xml:space="preserve"> / учениці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</w:tr>
      <w:tr w:rsidR="0079455C" w:rsidRPr="00F33AB9" w14:paraId="7F441EE5" w14:textId="77777777" w:rsidTr="0029091B">
        <w:tc>
          <w:tcPr>
            <w:tcW w:w="1555" w:type="dxa"/>
            <w:vAlign w:val="center"/>
          </w:tcPr>
          <w:p w14:paraId="08C515A9" w14:textId="3C1F7123" w:rsidR="00922941" w:rsidRPr="00F33AB9" w:rsidRDefault="00922941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Зошити, журнали, щоденники</w:t>
            </w:r>
          </w:p>
          <w:p w14:paraId="77AEB506" w14:textId="77777777" w:rsidR="0079455C" w:rsidRPr="00F33AB9" w:rsidRDefault="0079455C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9235" w:type="dxa"/>
            <w:vAlign w:val="center"/>
          </w:tcPr>
          <w:p w14:paraId="012B30ED" w14:textId="77777777" w:rsidR="00922941" w:rsidRPr="00F33AB9" w:rsidRDefault="00922941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Зошити для вчителя:</w:t>
            </w:r>
          </w:p>
          <w:p w14:paraId="7ABB9A93" w14:textId="592904F3" w:rsidR="00922941" w:rsidRPr="00F33AB9" w:rsidRDefault="00922941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Це може бути способом записати ваші щоденні роздуми про викладання та навчання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>,</w:t>
            </w:r>
            <w:r w:rsidR="00C626B3" w:rsidRPr="00F33AB9">
              <w:rPr>
                <w:rFonts w:cstheme="minorHAnsi"/>
                <w:sz w:val="24"/>
                <w:szCs w:val="24"/>
                <w:lang w:val="uk-UA"/>
              </w:rPr>
              <w:t xml:space="preserve"> які траплятимуться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>протягом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читання. Читання цих роздумів допоможе вдосконалити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викладання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14:paraId="0A25F556" w14:textId="42E7EAC7" w:rsidR="00922941" w:rsidRPr="00F33AB9" w:rsidRDefault="00544CDA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Учнівські</w:t>
            </w:r>
            <w:r w:rsidR="00922941" w:rsidRPr="00F33AB9">
              <w:rPr>
                <w:rFonts w:cstheme="minorHAnsi"/>
                <w:sz w:val="24"/>
                <w:szCs w:val="24"/>
                <w:lang w:val="uk-UA"/>
              </w:rPr>
              <w:t xml:space="preserve"> зошити:</w:t>
            </w:r>
          </w:p>
          <w:p w14:paraId="4670DF5B" w14:textId="4D18231B" w:rsidR="00922941" w:rsidRDefault="00922941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Зошити,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 xml:space="preserve"> де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учні записують свої відповіді </w:t>
            </w:r>
            <w:r w:rsidR="00544CDA" w:rsidRPr="00F33AB9">
              <w:rPr>
                <w:rFonts w:cstheme="minorHAnsi"/>
                <w:sz w:val="24"/>
                <w:szCs w:val="24"/>
                <w:lang w:val="uk-UA"/>
              </w:rPr>
              <w:t>про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розповіді та тексти, як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 xml:space="preserve">і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вони читають.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Їх можна використовувати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для відстеження читання 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>учнями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за межами</w:t>
            </w:r>
            <w:r w:rsidR="00544CDA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школ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>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, діяльн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>ості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у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якій вони беруть участь протягом 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>самостійної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роботи, з якою вони мають ділитися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 xml:space="preserve"> з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інши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>ми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учн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 xml:space="preserve">ями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і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вчител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>ем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/-</w:t>
            </w:r>
            <w:proofErr w:type="spellStart"/>
            <w:r w:rsidR="0029091B">
              <w:rPr>
                <w:rFonts w:cstheme="minorHAnsi"/>
                <w:sz w:val="24"/>
                <w:szCs w:val="24"/>
                <w:lang w:val="uk-UA"/>
              </w:rPr>
              <w:t>лькою</w:t>
            </w:r>
            <w:proofErr w:type="spellEnd"/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, а також як спосіб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 xml:space="preserve">бути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відповідальним</w:t>
            </w:r>
            <w:r w:rsidR="00544CDA" w:rsidRPr="00F33AB9">
              <w:rPr>
                <w:rFonts w:cstheme="minorHAnsi"/>
                <w:sz w:val="24"/>
                <w:szCs w:val="24"/>
                <w:lang w:val="uk-UA"/>
              </w:rPr>
              <w:t>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за прочитане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  <w:p w14:paraId="3207B30D" w14:textId="4885F7BB" w:rsidR="0029091B" w:rsidRPr="00F33AB9" w:rsidRDefault="0029091B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Журнали грамотності:</w:t>
            </w:r>
          </w:p>
          <w:p w14:paraId="69FE1821" w14:textId="001D6ECF" w:rsidR="00345858" w:rsidRPr="00F33AB9" w:rsidRDefault="00922941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“Робота”, як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у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пров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адять у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школі та поза нею.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Можна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розробити певний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формат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для журналів грамотності,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можна моделювати такий формат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, перш ніж очікувати, що учні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 xml:space="preserve"> використовуватимуть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 xml:space="preserve">журнали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самостійно.</w:t>
            </w:r>
          </w:p>
          <w:p w14:paraId="73CEBF55" w14:textId="2D041EA7" w:rsidR="00226F33" w:rsidRPr="00F33AB9" w:rsidRDefault="0029091B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Приклад </w:t>
            </w:r>
            <w:r w:rsidR="00922941" w:rsidRPr="00F33AB9">
              <w:rPr>
                <w:rFonts w:cstheme="minorHAnsi"/>
                <w:sz w:val="24"/>
                <w:szCs w:val="24"/>
                <w:lang w:val="uk-UA"/>
              </w:rPr>
              <w:t>так</w:t>
            </w:r>
            <w:r>
              <w:rPr>
                <w:rFonts w:cstheme="minorHAnsi"/>
                <w:sz w:val="24"/>
                <w:szCs w:val="24"/>
                <w:lang w:val="uk-UA"/>
              </w:rPr>
              <w:t>ого</w:t>
            </w:r>
            <w:r w:rsidR="00922941" w:rsidRPr="00F33AB9">
              <w:rPr>
                <w:rFonts w:cstheme="minorHAnsi"/>
                <w:sz w:val="24"/>
                <w:szCs w:val="24"/>
                <w:lang w:val="uk-UA"/>
              </w:rPr>
              <w:t xml:space="preserve"> формат</w:t>
            </w:r>
            <w:r>
              <w:rPr>
                <w:rFonts w:cstheme="minorHAnsi"/>
                <w:sz w:val="24"/>
                <w:szCs w:val="24"/>
                <w:lang w:val="uk-UA"/>
              </w:rPr>
              <w:t>у</w:t>
            </w:r>
            <w:r w:rsidR="00922941" w:rsidRPr="00F33AB9">
              <w:rPr>
                <w:rFonts w:cstheme="minorHAnsi"/>
                <w:sz w:val="24"/>
                <w:szCs w:val="24"/>
                <w:lang w:val="uk-UA"/>
              </w:rPr>
              <w:t>: назва, автор, дата,</w:t>
            </w:r>
            <w:r w:rsidR="00345858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="00922941" w:rsidRPr="00F33AB9">
              <w:rPr>
                <w:rFonts w:cstheme="minorHAnsi"/>
                <w:sz w:val="24"/>
                <w:szCs w:val="24"/>
                <w:lang w:val="uk-UA"/>
              </w:rPr>
              <w:t>враження, особисті зв’язки, літературні зв’язки та дива.</w:t>
            </w:r>
          </w:p>
          <w:p w14:paraId="49794BD8" w14:textId="487C3136" w:rsidR="00CD1197" w:rsidRPr="00F33AB9" w:rsidRDefault="00CD1197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>За по</w:t>
            </w:r>
            <w:r w:rsidR="0029091B">
              <w:rPr>
                <w:rFonts w:cstheme="minorHAnsi"/>
                <w:sz w:val="24"/>
                <w:szCs w:val="24"/>
                <w:highlight w:val="yellow"/>
                <w:lang w:val="uk-UA"/>
              </w:rPr>
              <w:t>клик</w:t>
            </w:r>
            <w:r w:rsidRPr="00F33AB9">
              <w:rPr>
                <w:rFonts w:cstheme="minorHAnsi"/>
                <w:sz w:val="24"/>
                <w:szCs w:val="24"/>
                <w:highlight w:val="yellow"/>
                <w:lang w:val="uk-UA"/>
              </w:rPr>
              <w:t>анням є приклад щоденника читача:</w:t>
            </w:r>
          </w:p>
          <w:p w14:paraId="0463AF2E" w14:textId="39190412" w:rsidR="0079455C" w:rsidRPr="00F33AB9" w:rsidRDefault="00C32C20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hyperlink r:id="rId6" w:history="1">
              <w:r w:rsidR="00226F33" w:rsidRPr="00F33AB9">
                <w:rPr>
                  <w:rStyle w:val="a4"/>
                  <w:rFonts w:cstheme="minorHAnsi"/>
                  <w:sz w:val="24"/>
                  <w:szCs w:val="24"/>
                  <w:lang w:val="uk-UA"/>
                </w:rPr>
                <w:t>https://nus.org.ua/wp-content/uploads/2021/04/shhodennyk-chytacha.pdf</w:t>
              </w:r>
            </w:hyperlink>
            <w:r w:rsidR="00226F33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</w:p>
        </w:tc>
      </w:tr>
      <w:tr w:rsidR="0079455C" w:rsidRPr="00F33AB9" w14:paraId="4FF1F219" w14:textId="77777777" w:rsidTr="0029091B">
        <w:tc>
          <w:tcPr>
            <w:tcW w:w="1555" w:type="dxa"/>
            <w:vAlign w:val="center"/>
          </w:tcPr>
          <w:p w14:paraId="744D6F65" w14:textId="69AE6FB3" w:rsidR="00226F33" w:rsidRPr="00F33AB9" w:rsidRDefault="00226F33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>Нотатки/цілі для</w:t>
            </w:r>
          </w:p>
          <w:p w14:paraId="6A8F4DD6" w14:textId="068FD378" w:rsidR="00226F33" w:rsidRPr="00F33AB9" w:rsidRDefault="00226F33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учнів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–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значки, символи, фрази</w:t>
            </w:r>
          </w:p>
          <w:p w14:paraId="73623751" w14:textId="77777777" w:rsidR="0079455C" w:rsidRPr="00F33AB9" w:rsidRDefault="0079455C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9235" w:type="dxa"/>
            <w:vAlign w:val="center"/>
          </w:tcPr>
          <w:p w14:paraId="19F10FA5" w14:textId="1EA8CEF4" w:rsidR="0079455C" w:rsidRPr="00F33AB9" w:rsidRDefault="00226F33" w:rsidP="003E65B1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Для того щоб </w:t>
            </w:r>
            <w:r w:rsidR="00CD1197" w:rsidRPr="00F33AB9">
              <w:rPr>
                <w:rFonts w:cstheme="minorHAnsi"/>
                <w:sz w:val="24"/>
                <w:szCs w:val="24"/>
                <w:lang w:val="uk-UA"/>
              </w:rPr>
              <w:t>навчати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учнів бути відповідальними за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 xml:space="preserve">діяльність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навчання,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 xml:space="preserve">які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відбува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ю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ться протягом мініконференцій, учителі повинні певним чином фіксувати «наступні кроки» для учнів. Вони можуть зробити це на звороті журналів відповідей учнів, у контрольному списку або на формах завдань для читання, виконаних під час у</w:t>
            </w:r>
            <w:r w:rsidR="00453575" w:rsidRPr="00F33AB9">
              <w:rPr>
                <w:rFonts w:cstheme="minorHAnsi"/>
                <w:sz w:val="24"/>
                <w:szCs w:val="24"/>
                <w:lang w:val="uk-UA"/>
              </w:rPr>
              <w:t>року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, або в якомусь місці</w:t>
            </w:r>
            <w:r w:rsidR="00453575" w:rsidRPr="00F33AB9">
              <w:rPr>
                <w:rFonts w:cstheme="minorHAnsi"/>
                <w:sz w:val="24"/>
                <w:szCs w:val="24"/>
                <w:lang w:val="uk-UA"/>
              </w:rPr>
              <w:t>, до якого учні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можуть</w:t>
            </w:r>
            <w:r w:rsidR="00453575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легко отримати доступ (на своєму робочому місці, на дошці оголошень). Запис</w:t>
            </w:r>
            <w:r w:rsidR="00453575" w:rsidRPr="00F33AB9">
              <w:rPr>
                <w:rFonts w:cstheme="minorHAnsi"/>
                <w:sz w:val="24"/>
                <w:szCs w:val="24"/>
                <w:lang w:val="uk-UA"/>
              </w:rPr>
              <w:t xml:space="preserve"> цілей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і</w:t>
            </w:r>
            <w:r w:rsidR="00453575" w:rsidRPr="00F33AB9">
              <w:rPr>
                <w:rFonts w:cstheme="minorHAnsi"/>
                <w:sz w:val="24"/>
                <w:szCs w:val="24"/>
                <w:lang w:val="uk-UA"/>
              </w:rPr>
              <w:t xml:space="preserve"> п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одальші кроки потрібно робити таким чином, щоб вони були легко зрозумілі </w:t>
            </w:r>
            <w:r w:rsidR="00453575" w:rsidRPr="00F33AB9">
              <w:rPr>
                <w:rFonts w:cstheme="minorHAnsi"/>
                <w:sz w:val="24"/>
                <w:szCs w:val="24"/>
                <w:lang w:val="uk-UA"/>
              </w:rPr>
              <w:t>учням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.</w:t>
            </w:r>
            <w:r w:rsidR="00453575" w:rsidRPr="00F33AB9">
              <w:rPr>
                <w:rFonts w:cstheme="minorHAnsi"/>
                <w:sz w:val="24"/>
                <w:szCs w:val="24"/>
                <w:lang w:val="uk-UA"/>
              </w:rPr>
              <w:t xml:space="preserve"> Уч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и</w:t>
            </w:r>
            <w:r w:rsidR="00453575" w:rsidRPr="00F33AB9">
              <w:rPr>
                <w:rFonts w:cstheme="minorHAnsi"/>
                <w:sz w:val="24"/>
                <w:szCs w:val="24"/>
                <w:lang w:val="uk-UA"/>
              </w:rPr>
              <w:t>тель і учні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можуть вибрати узгоджені значки чи символи, які представлятимуть</w:t>
            </w:r>
            <w:r w:rsidR="00453575" w:rsidRPr="00F33AB9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крок</w:t>
            </w:r>
            <w:r w:rsidR="00453575" w:rsidRPr="00F33AB9">
              <w:rPr>
                <w:rFonts w:cstheme="minorHAnsi"/>
                <w:sz w:val="24"/>
                <w:szCs w:val="24"/>
                <w:lang w:val="uk-UA"/>
              </w:rPr>
              <w:t>и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мет</w:t>
            </w:r>
            <w:r w:rsidR="00453575" w:rsidRPr="00F33AB9">
              <w:rPr>
                <w:rFonts w:cstheme="minorHAnsi"/>
                <w:sz w:val="24"/>
                <w:szCs w:val="24"/>
                <w:lang w:val="uk-UA"/>
              </w:rPr>
              <w:t>у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ді</w:t>
            </w:r>
            <w:r w:rsidR="00453575" w:rsidRPr="00F33AB9">
              <w:rPr>
                <w:rFonts w:cstheme="minorHAnsi"/>
                <w:sz w:val="24"/>
                <w:szCs w:val="24"/>
                <w:lang w:val="uk-UA"/>
              </w:rPr>
              <w:t>яльності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 xml:space="preserve"> або короткі фрази, зрозумілі як для 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>в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чителя</w:t>
            </w:r>
            <w:r w:rsidR="0029091B">
              <w:rPr>
                <w:rFonts w:cstheme="minorHAnsi"/>
                <w:sz w:val="24"/>
                <w:szCs w:val="24"/>
                <w:lang w:val="uk-UA"/>
              </w:rPr>
              <w:t xml:space="preserve"> / учительки</w:t>
            </w:r>
            <w:r w:rsidRPr="00F33AB9">
              <w:rPr>
                <w:rFonts w:cstheme="minorHAnsi"/>
                <w:sz w:val="24"/>
                <w:szCs w:val="24"/>
                <w:lang w:val="uk-UA"/>
              </w:rPr>
              <w:t>, так і для учнів</w:t>
            </w:r>
            <w:r w:rsidR="00453575" w:rsidRPr="00F33AB9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</w:tr>
    </w:tbl>
    <w:p w14:paraId="6A2378B1" w14:textId="77777777" w:rsidR="003E65B1" w:rsidRPr="00F33AB9" w:rsidRDefault="003E65B1" w:rsidP="00F74C23">
      <w:pPr>
        <w:pStyle w:val="a6"/>
        <w:rPr>
          <w:rFonts w:cstheme="minorHAnsi"/>
          <w:sz w:val="24"/>
          <w:szCs w:val="24"/>
          <w:lang w:val="uk-UA"/>
        </w:rPr>
      </w:pPr>
    </w:p>
    <w:p w14:paraId="2944CA4C" w14:textId="737E524A" w:rsidR="00F74C23" w:rsidRPr="00F33AB9" w:rsidRDefault="00CD1197" w:rsidP="00F74C23">
      <w:pPr>
        <w:pStyle w:val="a6"/>
        <w:rPr>
          <w:rFonts w:cstheme="minorHAnsi"/>
          <w:sz w:val="24"/>
          <w:szCs w:val="24"/>
        </w:rPr>
      </w:pPr>
      <w:r w:rsidRPr="00F33AB9">
        <w:rPr>
          <w:rFonts w:cstheme="minorHAnsi"/>
          <w:sz w:val="24"/>
          <w:szCs w:val="24"/>
          <w:lang w:val="uk-UA"/>
        </w:rPr>
        <w:t>За матері</w:t>
      </w:r>
      <w:r w:rsidR="009C4925" w:rsidRPr="00F33AB9">
        <w:rPr>
          <w:rFonts w:cstheme="minorHAnsi"/>
          <w:sz w:val="24"/>
          <w:szCs w:val="24"/>
          <w:lang w:val="uk-UA"/>
        </w:rPr>
        <w:t>а</w:t>
      </w:r>
      <w:r w:rsidRPr="00F33AB9">
        <w:rPr>
          <w:rFonts w:cstheme="minorHAnsi"/>
          <w:sz w:val="24"/>
          <w:szCs w:val="24"/>
          <w:lang w:val="uk-UA"/>
        </w:rPr>
        <w:t xml:space="preserve">лами </w:t>
      </w:r>
      <w:hyperlink r:id="rId7" w:history="1">
        <w:r w:rsidRPr="00F33AB9">
          <w:rPr>
            <w:rStyle w:val="a4"/>
            <w:rFonts w:cstheme="minorHAnsi"/>
            <w:sz w:val="24"/>
            <w:szCs w:val="24"/>
          </w:rPr>
          <w:t>www.cli.org</w:t>
        </w:r>
      </w:hyperlink>
      <w:r w:rsidRPr="00F33AB9">
        <w:rPr>
          <w:rFonts w:cstheme="minorHAnsi"/>
          <w:sz w:val="24"/>
          <w:szCs w:val="24"/>
        </w:rPr>
        <w:t xml:space="preserve"> </w:t>
      </w:r>
    </w:p>
    <w:p w14:paraId="620132AC" w14:textId="4F118F1D" w:rsidR="00F74C23" w:rsidRPr="00F33AB9" w:rsidRDefault="00F74C23" w:rsidP="00F74C23">
      <w:pPr>
        <w:pStyle w:val="a6"/>
        <w:rPr>
          <w:rFonts w:cstheme="minorHAnsi"/>
          <w:sz w:val="24"/>
          <w:szCs w:val="24"/>
        </w:rPr>
      </w:pPr>
    </w:p>
    <w:p w14:paraId="19411049" w14:textId="6301D0D7" w:rsidR="00F74C23" w:rsidRPr="00F33AB9" w:rsidRDefault="00F74C23" w:rsidP="00F74C23">
      <w:pPr>
        <w:rPr>
          <w:rFonts w:cstheme="minorHAnsi"/>
          <w:sz w:val="24"/>
          <w:szCs w:val="24"/>
        </w:rPr>
      </w:pPr>
    </w:p>
    <w:p w14:paraId="22E3C0CA" w14:textId="77777777" w:rsidR="00712D62" w:rsidRDefault="00712D62" w:rsidP="0029091B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</w:p>
    <w:p w14:paraId="27F45603" w14:textId="77777777" w:rsidR="00712D62" w:rsidRDefault="00712D62" w:rsidP="0029091B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</w:p>
    <w:p w14:paraId="347084EF" w14:textId="1667D21D" w:rsidR="0029091B" w:rsidRPr="0029091B" w:rsidRDefault="0029091B" w:rsidP="0029091B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  <w:r w:rsidRPr="0029091B">
        <w:rPr>
          <w:rFonts w:cstheme="minorHAnsi"/>
          <w:sz w:val="20"/>
          <w:szCs w:val="20"/>
          <w:lang w:val="uk-UA"/>
        </w:rPr>
        <w:t xml:space="preserve">Цей матеріал був створений за фінансової підтримки </w:t>
      </w:r>
      <w:r>
        <w:rPr>
          <w:rFonts w:cstheme="minorHAnsi"/>
          <w:sz w:val="20"/>
          <w:szCs w:val="20"/>
          <w:lang w:val="uk-UA"/>
        </w:rPr>
        <w:br/>
      </w:r>
      <w:r w:rsidRPr="0029091B">
        <w:rPr>
          <w:rFonts w:cstheme="minorHAnsi"/>
          <w:sz w:val="20"/>
          <w:szCs w:val="20"/>
          <w:lang w:val="uk-UA"/>
        </w:rPr>
        <w:t>Європейського</w:t>
      </w:r>
      <w:r w:rsidR="00712D62">
        <w:rPr>
          <w:rFonts w:cstheme="minorHAnsi"/>
          <w:sz w:val="20"/>
          <w:szCs w:val="20"/>
          <w:lang w:val="uk-UA"/>
        </w:rPr>
        <w:t xml:space="preserve"> </w:t>
      </w:r>
      <w:r w:rsidRPr="0029091B">
        <w:rPr>
          <w:rFonts w:cstheme="minorHAnsi"/>
          <w:sz w:val="20"/>
          <w:szCs w:val="20"/>
          <w:lang w:val="uk-UA"/>
        </w:rPr>
        <w:t xml:space="preserve">Союзу та Міністерства закордонних справ Фінляндії. Зміст </w:t>
      </w:r>
      <w:r w:rsidR="00712D62">
        <w:rPr>
          <w:rFonts w:cstheme="minorHAnsi"/>
          <w:sz w:val="20"/>
          <w:szCs w:val="20"/>
          <w:lang w:val="uk-UA"/>
        </w:rPr>
        <w:t>матеріалів</w:t>
      </w:r>
      <w:r w:rsidRPr="0029091B">
        <w:rPr>
          <w:rFonts w:cstheme="minorHAnsi"/>
          <w:sz w:val="20"/>
          <w:szCs w:val="20"/>
          <w:lang w:val="uk-UA"/>
        </w:rPr>
        <w:t xml:space="preserve"> є</w:t>
      </w:r>
    </w:p>
    <w:p w14:paraId="4707A1D4" w14:textId="77777777" w:rsidR="00712D62" w:rsidRDefault="0029091B" w:rsidP="0029091B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  <w:r w:rsidRPr="0029091B">
        <w:rPr>
          <w:rFonts w:cstheme="minorHAnsi"/>
          <w:sz w:val="20"/>
          <w:szCs w:val="20"/>
          <w:lang w:val="uk-UA"/>
        </w:rPr>
        <w:t>виключно відповідальністю розробників і не обов’язково відображає</w:t>
      </w:r>
      <w:r w:rsidR="00712D62">
        <w:rPr>
          <w:rFonts w:cstheme="minorHAnsi"/>
          <w:sz w:val="20"/>
          <w:szCs w:val="20"/>
          <w:lang w:val="uk-UA"/>
        </w:rPr>
        <w:t xml:space="preserve"> </w:t>
      </w:r>
      <w:r w:rsidRPr="0029091B">
        <w:rPr>
          <w:rFonts w:cstheme="minorHAnsi"/>
          <w:sz w:val="20"/>
          <w:szCs w:val="20"/>
          <w:lang w:val="uk-UA"/>
        </w:rPr>
        <w:t xml:space="preserve">погляди </w:t>
      </w:r>
    </w:p>
    <w:p w14:paraId="62190CC5" w14:textId="3408345D" w:rsidR="00F74C23" w:rsidRPr="0029091B" w:rsidRDefault="0029091B" w:rsidP="0029091B">
      <w:pPr>
        <w:spacing w:after="0" w:line="240" w:lineRule="auto"/>
        <w:jc w:val="center"/>
        <w:rPr>
          <w:rFonts w:cstheme="minorHAnsi"/>
          <w:sz w:val="20"/>
          <w:szCs w:val="20"/>
          <w:lang w:val="uk-UA"/>
        </w:rPr>
      </w:pPr>
      <w:r w:rsidRPr="0029091B">
        <w:rPr>
          <w:rFonts w:cstheme="minorHAnsi"/>
          <w:sz w:val="20"/>
          <w:szCs w:val="20"/>
          <w:lang w:val="uk-UA"/>
        </w:rPr>
        <w:t>Європейського Союзу, Міністерства закордонних справ</w:t>
      </w:r>
      <w:r w:rsidR="00712D62">
        <w:rPr>
          <w:rFonts w:cstheme="minorHAnsi"/>
          <w:sz w:val="20"/>
          <w:szCs w:val="20"/>
          <w:lang w:val="uk-UA"/>
        </w:rPr>
        <w:t xml:space="preserve"> </w:t>
      </w:r>
      <w:r w:rsidRPr="0029091B">
        <w:rPr>
          <w:rFonts w:cstheme="minorHAnsi"/>
          <w:sz w:val="20"/>
          <w:szCs w:val="20"/>
          <w:lang w:val="uk-UA"/>
        </w:rPr>
        <w:t>Фінляндії.</w:t>
      </w:r>
    </w:p>
    <w:sectPr w:rsidR="00F74C23" w:rsidRPr="0029091B" w:rsidSect="0079455C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58E8" w14:textId="77777777" w:rsidR="00C32C20" w:rsidRDefault="00C32C20" w:rsidP="00F33AB9">
      <w:pPr>
        <w:spacing w:after="0" w:line="240" w:lineRule="auto"/>
      </w:pPr>
      <w:r>
        <w:separator/>
      </w:r>
    </w:p>
  </w:endnote>
  <w:endnote w:type="continuationSeparator" w:id="0">
    <w:p w14:paraId="17521714" w14:textId="77777777" w:rsidR="00C32C20" w:rsidRDefault="00C32C20" w:rsidP="00F3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5B97" w14:textId="2D807483" w:rsidR="00F33AB9" w:rsidRDefault="00F33AB9" w:rsidP="00F33AB9">
    <w:pPr>
      <w:pStyle w:val="a9"/>
      <w:jc w:val="center"/>
    </w:pPr>
    <w:r>
      <w:rPr>
        <w:noProof/>
      </w:rPr>
      <w:drawing>
        <wp:inline distT="0" distB="0" distL="0" distR="0" wp14:anchorId="34028102" wp14:editId="5F1C0523">
          <wp:extent cx="5932170" cy="822325"/>
          <wp:effectExtent l="0" t="0" r="0" b="0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17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28A9" w14:textId="77777777" w:rsidR="00C32C20" w:rsidRDefault="00C32C20" w:rsidP="00F33AB9">
      <w:pPr>
        <w:spacing w:after="0" w:line="240" w:lineRule="auto"/>
      </w:pPr>
      <w:r>
        <w:separator/>
      </w:r>
    </w:p>
  </w:footnote>
  <w:footnote w:type="continuationSeparator" w:id="0">
    <w:p w14:paraId="26519471" w14:textId="77777777" w:rsidR="00C32C20" w:rsidRDefault="00C32C20" w:rsidP="00F3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B143" w14:textId="159A9B91" w:rsidR="00F33AB9" w:rsidRDefault="00F33AB9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4ECCE2" wp14:editId="49CDB416">
          <wp:simplePos x="0" y="0"/>
          <wp:positionH relativeFrom="column">
            <wp:posOffset>-198120</wp:posOffset>
          </wp:positionH>
          <wp:positionV relativeFrom="paragraph">
            <wp:posOffset>-358140</wp:posOffset>
          </wp:positionV>
          <wp:extent cx="1996440" cy="464820"/>
          <wp:effectExtent l="0" t="0" r="381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5C"/>
    <w:rsid w:val="00011398"/>
    <w:rsid w:val="00026749"/>
    <w:rsid w:val="00050E97"/>
    <w:rsid w:val="00051777"/>
    <w:rsid w:val="00226F33"/>
    <w:rsid w:val="0029091B"/>
    <w:rsid w:val="00306000"/>
    <w:rsid w:val="00345858"/>
    <w:rsid w:val="003E65B1"/>
    <w:rsid w:val="004522AA"/>
    <w:rsid w:val="00453575"/>
    <w:rsid w:val="00544CDA"/>
    <w:rsid w:val="00712D62"/>
    <w:rsid w:val="007200B3"/>
    <w:rsid w:val="0079455C"/>
    <w:rsid w:val="008D79D1"/>
    <w:rsid w:val="00922941"/>
    <w:rsid w:val="00991180"/>
    <w:rsid w:val="009C4925"/>
    <w:rsid w:val="00BF2715"/>
    <w:rsid w:val="00C32C20"/>
    <w:rsid w:val="00C626B3"/>
    <w:rsid w:val="00CD1197"/>
    <w:rsid w:val="00E2389D"/>
    <w:rsid w:val="00E317EC"/>
    <w:rsid w:val="00F33AB9"/>
    <w:rsid w:val="00F74C23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EC327"/>
  <w15:chartTrackingRefBased/>
  <w15:docId w15:val="{B04ED04D-37CC-4108-BC9B-E253CD7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6F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6F3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F74C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74C23"/>
    <w:rPr>
      <w:rFonts w:ascii="Consolas" w:hAnsi="Consolas"/>
      <w:sz w:val="20"/>
      <w:szCs w:val="20"/>
    </w:rPr>
  </w:style>
  <w:style w:type="paragraph" w:styleId="a6">
    <w:name w:val="No Spacing"/>
    <w:uiPriority w:val="1"/>
    <w:qFormat/>
    <w:rsid w:val="00F74C2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33A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33AB9"/>
  </w:style>
  <w:style w:type="paragraph" w:styleId="a9">
    <w:name w:val="footer"/>
    <w:basedOn w:val="a"/>
    <w:link w:val="aa"/>
    <w:uiPriority w:val="99"/>
    <w:unhideWhenUsed/>
    <w:rsid w:val="00F33A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3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l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s.org.ua/wp-content/uploads/2021/04/shhodennyk-chytacha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3616</Words>
  <Characters>2062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Hartsula</dc:creator>
  <cp:keywords/>
  <dc:description/>
  <cp:lastModifiedBy>Ihor Khvorostianyi</cp:lastModifiedBy>
  <cp:revision>2</cp:revision>
  <dcterms:created xsi:type="dcterms:W3CDTF">2021-06-10T10:58:00Z</dcterms:created>
  <dcterms:modified xsi:type="dcterms:W3CDTF">2021-06-10T10:58:00Z</dcterms:modified>
</cp:coreProperties>
</file>